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76EE" w14:textId="77777777" w:rsidR="00E779BD" w:rsidRPr="00C0358A" w:rsidRDefault="00E779BD" w:rsidP="00E779BD">
      <w:pPr>
        <w:jc w:val="center"/>
        <w:rPr>
          <w:rFonts w:ascii="Arial" w:hAnsi="Arial" w:cs="Arial"/>
          <w:sz w:val="40"/>
          <w:szCs w:val="24"/>
        </w:rPr>
      </w:pPr>
      <w:bookmarkStart w:id="0" w:name="_GoBack"/>
      <w:bookmarkEnd w:id="0"/>
      <w:r w:rsidRPr="00C0358A">
        <w:rPr>
          <w:rFonts w:ascii="Arial" w:hAnsi="Arial" w:cs="Arial"/>
          <w:noProof/>
          <w:sz w:val="40"/>
          <w:szCs w:val="24"/>
        </w:rPr>
        <w:drawing>
          <wp:inline distT="0" distB="0" distL="0" distR="0" wp14:anchorId="726B6E7A" wp14:editId="5256D584">
            <wp:extent cx="8003217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Muk_CMYK_300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6" b="18311"/>
                    <a:stretch/>
                  </pic:blipFill>
                  <pic:spPr bwMode="auto">
                    <a:xfrm>
                      <a:off x="0" y="0"/>
                      <a:ext cx="8058294" cy="183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8399D" w14:textId="77777777" w:rsidR="00E779BD" w:rsidRPr="00C0358A" w:rsidRDefault="00E779BD" w:rsidP="00E779BD">
      <w:pPr>
        <w:jc w:val="center"/>
        <w:rPr>
          <w:rFonts w:ascii="Arial" w:hAnsi="Arial" w:cs="Arial"/>
          <w:sz w:val="42"/>
          <w:szCs w:val="40"/>
        </w:rPr>
      </w:pPr>
      <w:r w:rsidRPr="00C0358A">
        <w:rPr>
          <w:rFonts w:ascii="Arial" w:hAnsi="Arial" w:cs="Arial"/>
          <w:sz w:val="36"/>
          <w:szCs w:val="34"/>
        </w:rPr>
        <w:t>11930 Cyrus Way, Mukilteo WA</w:t>
      </w:r>
      <w:r w:rsidR="003B7FDC" w:rsidRPr="00C0358A">
        <w:rPr>
          <w:rFonts w:ascii="Arial" w:hAnsi="Arial" w:cs="Arial"/>
          <w:sz w:val="36"/>
          <w:szCs w:val="34"/>
        </w:rPr>
        <w:t xml:space="preserve"> 98275</w:t>
      </w:r>
    </w:p>
    <w:p w14:paraId="2AE71BDF" w14:textId="77777777" w:rsidR="00E779BD" w:rsidRPr="00C0358A" w:rsidRDefault="00E779BD" w:rsidP="00E779BD">
      <w:pPr>
        <w:jc w:val="center"/>
        <w:rPr>
          <w:rFonts w:ascii="Arial" w:hAnsi="Arial" w:cs="Arial"/>
          <w:sz w:val="28"/>
          <w:szCs w:val="28"/>
        </w:rPr>
      </w:pPr>
    </w:p>
    <w:p w14:paraId="7F24F9B2" w14:textId="44EDB179" w:rsidR="00E779BD" w:rsidRPr="001151CA" w:rsidRDefault="00E779BD" w:rsidP="00E779BD">
      <w:pPr>
        <w:jc w:val="center"/>
        <w:rPr>
          <w:rFonts w:ascii="Arial" w:hAnsi="Arial" w:cs="Arial"/>
          <w:b/>
          <w:sz w:val="40"/>
          <w:szCs w:val="40"/>
        </w:rPr>
      </w:pPr>
      <w:r w:rsidRPr="001151CA">
        <w:rPr>
          <w:rFonts w:ascii="Arial" w:hAnsi="Arial" w:cs="Arial"/>
          <w:b/>
          <w:sz w:val="40"/>
          <w:szCs w:val="40"/>
        </w:rPr>
        <w:t xml:space="preserve">Notice of </w:t>
      </w:r>
      <w:r w:rsidR="00B10E0C" w:rsidRPr="001151CA">
        <w:rPr>
          <w:rFonts w:ascii="Arial" w:hAnsi="Arial" w:cs="Arial"/>
          <w:b/>
          <w:sz w:val="40"/>
          <w:szCs w:val="40"/>
        </w:rPr>
        <w:t>Decision</w:t>
      </w:r>
      <w:r w:rsidR="001151CA" w:rsidRPr="001151CA">
        <w:rPr>
          <w:rFonts w:ascii="Arial" w:hAnsi="Arial" w:cs="Arial"/>
          <w:b/>
          <w:sz w:val="40"/>
          <w:szCs w:val="40"/>
        </w:rPr>
        <w:br/>
        <w:t>Capital Facilities Element Amendments</w:t>
      </w:r>
      <w:r w:rsidR="00D540DB" w:rsidRPr="001151CA">
        <w:rPr>
          <w:rFonts w:ascii="Arial" w:hAnsi="Arial" w:cs="Arial"/>
          <w:b/>
          <w:sz w:val="40"/>
          <w:szCs w:val="40"/>
        </w:rPr>
        <w:t xml:space="preserve"> </w:t>
      </w:r>
    </w:p>
    <w:p w14:paraId="5F1077F6" w14:textId="5E32DAE5" w:rsidR="00E779BD" w:rsidRPr="001151CA" w:rsidRDefault="001F0C16" w:rsidP="00FF6BE2">
      <w:pPr>
        <w:pStyle w:val="HRt-1"/>
        <w:widowControl/>
        <w:tabs>
          <w:tab w:val="clear" w:pos="-720"/>
          <w:tab w:val="left" w:pos="270"/>
        </w:tabs>
        <w:spacing w:line="259" w:lineRule="auto"/>
        <w:ind w:right="900"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1151CA">
        <w:rPr>
          <w:rFonts w:ascii="Arial" w:hAnsi="Arial" w:cs="Arial"/>
          <w:b/>
          <w:spacing w:val="-2"/>
          <w:sz w:val="40"/>
          <w:szCs w:val="40"/>
        </w:rPr>
        <w:tab/>
      </w:r>
      <w:r w:rsidRPr="001151CA">
        <w:rPr>
          <w:rFonts w:ascii="Arial" w:hAnsi="Arial" w:cs="Arial"/>
          <w:b/>
          <w:spacing w:val="-2"/>
          <w:sz w:val="40"/>
          <w:szCs w:val="40"/>
        </w:rPr>
        <w:tab/>
      </w:r>
      <w:r w:rsidR="00C05CE1" w:rsidRPr="001151CA">
        <w:rPr>
          <w:rFonts w:ascii="Arial" w:hAnsi="Arial" w:cs="Arial"/>
          <w:b/>
          <w:spacing w:val="-2"/>
          <w:sz w:val="40"/>
          <w:szCs w:val="40"/>
        </w:rPr>
        <w:t>CPA-2020-002</w:t>
      </w:r>
    </w:p>
    <w:p w14:paraId="1725F0C1" w14:textId="77777777" w:rsidR="00BA7FC3" w:rsidRPr="00C0358A" w:rsidRDefault="00BA7FC3" w:rsidP="00FF6BE2">
      <w:pPr>
        <w:spacing w:line="259" w:lineRule="auto"/>
        <w:jc w:val="center"/>
        <w:rPr>
          <w:rFonts w:ascii="Arial" w:hAnsi="Arial" w:cs="Arial"/>
          <w:sz w:val="38"/>
          <w:szCs w:val="38"/>
        </w:rPr>
      </w:pPr>
    </w:p>
    <w:p w14:paraId="13E02152" w14:textId="23455DA8" w:rsidR="001F0C16" w:rsidRPr="001F0C16" w:rsidRDefault="001F0C16" w:rsidP="00FF6BE2">
      <w:pPr>
        <w:spacing w:line="259" w:lineRule="auto"/>
        <w:rPr>
          <w:rFonts w:ascii="Georgia" w:hAnsi="Georgia"/>
          <w:sz w:val="24"/>
        </w:rPr>
      </w:pPr>
      <w:r>
        <w:rPr>
          <w:rFonts w:ascii="Arial" w:hAnsi="Arial" w:cs="Arial"/>
          <w:b/>
          <w:sz w:val="36"/>
          <w:szCs w:val="36"/>
        </w:rPr>
        <w:t xml:space="preserve">Ordinance </w:t>
      </w:r>
      <w:r w:rsidR="00E779BD" w:rsidRPr="00C0358A">
        <w:rPr>
          <w:rFonts w:ascii="Arial" w:hAnsi="Arial" w:cs="Arial"/>
          <w:b/>
          <w:sz w:val="36"/>
          <w:szCs w:val="36"/>
        </w:rPr>
        <w:t>Summary</w:t>
      </w:r>
      <w:r w:rsidR="00E779BD" w:rsidRPr="00C0358A">
        <w:rPr>
          <w:rFonts w:ascii="Arial" w:hAnsi="Arial" w:cs="Arial"/>
          <w:sz w:val="36"/>
          <w:szCs w:val="36"/>
        </w:rPr>
        <w:t>:</w:t>
      </w:r>
      <w:r w:rsidR="00394B30" w:rsidRPr="00C0358A">
        <w:rPr>
          <w:rFonts w:ascii="Arial" w:hAnsi="Arial" w:cs="Arial"/>
          <w:sz w:val="36"/>
          <w:szCs w:val="36"/>
        </w:rPr>
        <w:t xml:space="preserve">  </w:t>
      </w:r>
    </w:p>
    <w:p w14:paraId="186B07E8" w14:textId="52792462" w:rsidR="001F0C16" w:rsidRPr="001F0C16" w:rsidRDefault="00FF6BE2" w:rsidP="00FF6BE2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Pr="001F0C16">
        <w:rPr>
          <w:rFonts w:ascii="Arial" w:hAnsi="Arial" w:cs="Arial"/>
          <w:sz w:val="36"/>
          <w:szCs w:val="36"/>
        </w:rPr>
        <w:t>n ordinance</w:t>
      </w:r>
      <w:r>
        <w:rPr>
          <w:rFonts w:ascii="Arial" w:hAnsi="Arial" w:cs="Arial"/>
          <w:sz w:val="36"/>
          <w:szCs w:val="36"/>
        </w:rPr>
        <w:t xml:space="preserve"> (Ordinance N</w:t>
      </w:r>
      <w:r w:rsidRPr="00FF6BE2">
        <w:rPr>
          <w:rFonts w:ascii="Arial" w:hAnsi="Arial" w:cs="Arial"/>
          <w:sz w:val="36"/>
          <w:szCs w:val="36"/>
        </w:rPr>
        <w:t>o. 1456)</w:t>
      </w:r>
      <w:r>
        <w:rPr>
          <w:rFonts w:ascii="Arial" w:hAnsi="Arial" w:cs="Arial"/>
          <w:sz w:val="36"/>
          <w:szCs w:val="36"/>
        </w:rPr>
        <w:t xml:space="preserve"> of the City of Mukilteo, W</w:t>
      </w:r>
      <w:r w:rsidRPr="001F0C16">
        <w:rPr>
          <w:rFonts w:ascii="Arial" w:hAnsi="Arial" w:cs="Arial"/>
          <w:sz w:val="36"/>
          <w:szCs w:val="36"/>
        </w:rPr>
        <w:t>ashington, relating to the</w:t>
      </w:r>
      <w:r>
        <w:rPr>
          <w:rFonts w:ascii="Arial" w:hAnsi="Arial" w:cs="Arial"/>
          <w:sz w:val="36"/>
          <w:szCs w:val="36"/>
        </w:rPr>
        <w:t xml:space="preserve"> Capital Facilities Element of the Mukilteo Comprehensive Plan, amending the Capital Facilities Element, updating the Mukilteo Six-Year and Twenty-Year Capital Improvement Programs (CIP</w:t>
      </w:r>
      <w:r w:rsidRPr="001F0C16">
        <w:rPr>
          <w:rFonts w:ascii="Arial" w:hAnsi="Arial" w:cs="Arial"/>
          <w:sz w:val="36"/>
          <w:szCs w:val="36"/>
        </w:rPr>
        <w:t>), providing for severability and establishing an effective date.</w:t>
      </w:r>
    </w:p>
    <w:p w14:paraId="44E7CD8C" w14:textId="77777777" w:rsidR="00BA7FC3" w:rsidRPr="00C0358A" w:rsidRDefault="00BA7FC3" w:rsidP="00FF6BE2">
      <w:pPr>
        <w:spacing w:line="259" w:lineRule="auto"/>
        <w:ind w:left="4320" w:right="-108" w:hanging="4320"/>
        <w:rPr>
          <w:rFonts w:ascii="Arial" w:hAnsi="Arial" w:cs="Arial"/>
          <w:sz w:val="38"/>
          <w:szCs w:val="38"/>
        </w:rPr>
      </w:pPr>
    </w:p>
    <w:p w14:paraId="6D0FA5FF" w14:textId="766E9B65" w:rsidR="00E779BD" w:rsidRPr="00C26CA7" w:rsidRDefault="00B10E0C" w:rsidP="00FF6BE2">
      <w:pPr>
        <w:tabs>
          <w:tab w:val="left" w:pos="4320"/>
        </w:tabs>
        <w:spacing w:line="259" w:lineRule="auto"/>
        <w:rPr>
          <w:rFonts w:ascii="Arial" w:hAnsi="Arial" w:cs="Arial"/>
          <w:b/>
          <w:sz w:val="38"/>
          <w:szCs w:val="38"/>
        </w:rPr>
      </w:pPr>
      <w:r w:rsidRPr="00C0358A">
        <w:rPr>
          <w:rFonts w:ascii="Arial" w:hAnsi="Arial" w:cs="Arial"/>
          <w:b/>
          <w:sz w:val="38"/>
          <w:szCs w:val="38"/>
        </w:rPr>
        <w:t xml:space="preserve">Notice </w:t>
      </w:r>
      <w:r w:rsidR="00C70A34" w:rsidRPr="00C0358A">
        <w:rPr>
          <w:rFonts w:ascii="Arial" w:hAnsi="Arial" w:cs="Arial"/>
          <w:b/>
          <w:sz w:val="38"/>
          <w:szCs w:val="38"/>
        </w:rPr>
        <w:t>o</w:t>
      </w:r>
      <w:r w:rsidRPr="00C0358A">
        <w:rPr>
          <w:rFonts w:ascii="Arial" w:hAnsi="Arial" w:cs="Arial"/>
          <w:b/>
          <w:sz w:val="38"/>
          <w:szCs w:val="38"/>
        </w:rPr>
        <w:t>f Decision Issue Date</w:t>
      </w:r>
      <w:r w:rsidR="00394B30" w:rsidRPr="00C0358A">
        <w:rPr>
          <w:rFonts w:ascii="Arial" w:hAnsi="Arial" w:cs="Arial"/>
          <w:b/>
          <w:sz w:val="38"/>
          <w:szCs w:val="38"/>
        </w:rPr>
        <w:t>:</w:t>
      </w:r>
      <w:r w:rsidR="00394B30" w:rsidRPr="00C0358A">
        <w:rPr>
          <w:rFonts w:ascii="Arial" w:hAnsi="Arial" w:cs="Arial"/>
          <w:b/>
          <w:sz w:val="38"/>
          <w:szCs w:val="38"/>
        </w:rPr>
        <w:tab/>
      </w:r>
      <w:r w:rsidR="00EC25B1">
        <w:rPr>
          <w:rFonts w:ascii="Arial" w:hAnsi="Arial" w:cs="Arial"/>
          <w:sz w:val="38"/>
          <w:szCs w:val="38"/>
        </w:rPr>
        <w:t xml:space="preserve">Thursday, </w:t>
      </w:r>
      <w:r w:rsidR="00EF0EC0">
        <w:rPr>
          <w:rFonts w:ascii="Arial" w:hAnsi="Arial" w:cs="Arial"/>
          <w:sz w:val="38"/>
          <w:szCs w:val="38"/>
        </w:rPr>
        <w:t>December</w:t>
      </w:r>
      <w:r w:rsidR="00CE3EB5">
        <w:rPr>
          <w:rFonts w:ascii="Arial" w:hAnsi="Arial" w:cs="Arial"/>
          <w:sz w:val="38"/>
          <w:szCs w:val="38"/>
        </w:rPr>
        <w:t xml:space="preserve"> </w:t>
      </w:r>
      <w:r w:rsidR="00EC25B1" w:rsidRPr="00EC25B1">
        <w:rPr>
          <w:rFonts w:ascii="Arial" w:hAnsi="Arial" w:cs="Arial"/>
          <w:sz w:val="38"/>
          <w:szCs w:val="38"/>
        </w:rPr>
        <w:t>02</w:t>
      </w:r>
      <w:r w:rsidRPr="00EC25B1">
        <w:rPr>
          <w:rFonts w:ascii="Arial" w:hAnsi="Arial" w:cs="Arial"/>
          <w:sz w:val="38"/>
          <w:szCs w:val="38"/>
        </w:rPr>
        <w:t>,</w:t>
      </w:r>
      <w:r w:rsidRPr="00C0358A">
        <w:rPr>
          <w:rFonts w:ascii="Arial" w:hAnsi="Arial" w:cs="Arial"/>
          <w:sz w:val="38"/>
          <w:szCs w:val="38"/>
        </w:rPr>
        <w:t xml:space="preserve"> 2021</w:t>
      </w:r>
    </w:p>
    <w:p w14:paraId="188A39B0" w14:textId="77777777" w:rsidR="00FF6BE2" w:rsidRDefault="00FF6BE2" w:rsidP="00FF6BE2">
      <w:pPr>
        <w:spacing w:line="259" w:lineRule="auto"/>
        <w:rPr>
          <w:rFonts w:ascii="Arial" w:hAnsi="Arial" w:cs="Arial"/>
          <w:b/>
          <w:sz w:val="38"/>
          <w:szCs w:val="38"/>
        </w:rPr>
      </w:pPr>
    </w:p>
    <w:p w14:paraId="095E1D28" w14:textId="0C75A6BC" w:rsidR="00BA7FC3" w:rsidRPr="001F0C16" w:rsidRDefault="00E779BD" w:rsidP="00FF6BE2">
      <w:pPr>
        <w:spacing w:line="259" w:lineRule="auto"/>
        <w:rPr>
          <w:rFonts w:ascii="Arial" w:hAnsi="Arial" w:cs="Arial"/>
          <w:color w:val="FF0000"/>
          <w:sz w:val="38"/>
          <w:szCs w:val="38"/>
        </w:rPr>
      </w:pPr>
      <w:r w:rsidRPr="001F0C16">
        <w:rPr>
          <w:rFonts w:ascii="Arial" w:hAnsi="Arial" w:cs="Arial"/>
          <w:b/>
          <w:sz w:val="38"/>
          <w:szCs w:val="38"/>
        </w:rPr>
        <w:t>Project Information:</w:t>
      </w:r>
      <w:r w:rsidR="00DA05F9" w:rsidRPr="001F0C16">
        <w:rPr>
          <w:rFonts w:ascii="Arial" w:hAnsi="Arial" w:cs="Arial"/>
          <w:color w:val="FF0000"/>
          <w:sz w:val="38"/>
          <w:szCs w:val="38"/>
        </w:rPr>
        <w:t xml:space="preserve"> </w:t>
      </w:r>
    </w:p>
    <w:p w14:paraId="5D1F2CE1" w14:textId="3347CCAF" w:rsidR="001F0C16" w:rsidRPr="00FF6BE2" w:rsidRDefault="001F0C16" w:rsidP="00FF6BE2">
      <w:pPr>
        <w:spacing w:line="259" w:lineRule="auto"/>
        <w:ind w:right="-108"/>
        <w:rPr>
          <w:rFonts w:ascii="Arial" w:hAnsi="Arial" w:cs="Arial"/>
          <w:sz w:val="36"/>
          <w:szCs w:val="36"/>
        </w:rPr>
      </w:pPr>
      <w:r w:rsidRPr="00FF6BE2">
        <w:rPr>
          <w:rFonts w:ascii="Arial" w:hAnsi="Arial" w:cs="Arial"/>
          <w:sz w:val="36"/>
          <w:szCs w:val="36"/>
        </w:rPr>
        <w:t xml:space="preserve">Ordinance No. 1456 </w:t>
      </w:r>
      <w:r w:rsidRPr="00FF6BE2">
        <w:rPr>
          <w:rFonts w:ascii="Arial" w:hAnsi="Arial" w:cs="Arial"/>
          <w:spacing w:val="-2"/>
          <w:sz w:val="36"/>
          <w:szCs w:val="36"/>
        </w:rPr>
        <w:t>amends the Mukilteo Comprehensive Plan Capital Facilities Element (CFE), including the updated Six-Year 2022-2027 Capital Improvement Program (CIP) and a 20-year CIP project list</w:t>
      </w:r>
      <w:r w:rsidR="001151CA">
        <w:rPr>
          <w:rFonts w:ascii="Arial" w:hAnsi="Arial" w:cs="Arial"/>
          <w:spacing w:val="-2"/>
          <w:sz w:val="36"/>
          <w:szCs w:val="36"/>
        </w:rPr>
        <w:t>,</w:t>
      </w:r>
      <w:r w:rsidRPr="00FF6BE2">
        <w:rPr>
          <w:rFonts w:ascii="Arial" w:hAnsi="Arial" w:cs="Arial"/>
          <w:sz w:val="36"/>
          <w:szCs w:val="36"/>
        </w:rPr>
        <w:t xml:space="preserve"> in accordance with the requirements of the Washington State Growth Management Act.</w:t>
      </w:r>
    </w:p>
    <w:p w14:paraId="20936FF4" w14:textId="42DD19FF" w:rsidR="00FF6BE2" w:rsidRPr="00FF6BE2" w:rsidRDefault="00FF6BE2" w:rsidP="00FF6BE2">
      <w:pPr>
        <w:spacing w:line="259" w:lineRule="auto"/>
        <w:rPr>
          <w:rFonts w:ascii="Arial" w:hAnsi="Arial" w:cs="Arial"/>
          <w:color w:val="FF0000"/>
          <w:sz w:val="36"/>
          <w:szCs w:val="36"/>
        </w:rPr>
      </w:pPr>
    </w:p>
    <w:p w14:paraId="0AEC8DBC" w14:textId="36DFE252" w:rsidR="00B10E0C" w:rsidRPr="00FF6BE2" w:rsidRDefault="00B10E0C" w:rsidP="00FF6BE2">
      <w:pPr>
        <w:keepNext/>
        <w:spacing w:line="259" w:lineRule="auto"/>
        <w:jc w:val="both"/>
        <w:outlineLvl w:val="2"/>
        <w:rPr>
          <w:rFonts w:ascii="Arial" w:hAnsi="Arial" w:cs="Arial"/>
          <w:sz w:val="36"/>
          <w:szCs w:val="36"/>
        </w:rPr>
      </w:pPr>
      <w:r w:rsidRPr="00FF6BE2">
        <w:rPr>
          <w:rFonts w:ascii="Arial" w:hAnsi="Arial" w:cs="Arial"/>
          <w:b/>
          <w:sz w:val="36"/>
          <w:szCs w:val="36"/>
        </w:rPr>
        <w:t xml:space="preserve">Appeals: </w:t>
      </w:r>
      <w:r w:rsidR="00BA7FC3" w:rsidRPr="00FF6BE2">
        <w:rPr>
          <w:rFonts w:ascii="Arial" w:hAnsi="Arial" w:cs="Arial"/>
          <w:sz w:val="36"/>
          <w:szCs w:val="36"/>
        </w:rPr>
        <w:t>In accordance with RCW 36.70A.280 and 290, all petitions relating to whether or not an adopted Comprehensive Plan is</w:t>
      </w:r>
      <w:r w:rsidR="00FF2E5C">
        <w:rPr>
          <w:rFonts w:ascii="Arial" w:hAnsi="Arial" w:cs="Arial"/>
          <w:sz w:val="36"/>
          <w:szCs w:val="36"/>
        </w:rPr>
        <w:t xml:space="preserve"> in compliance with the </w:t>
      </w:r>
      <w:r w:rsidR="00BA7FC3" w:rsidRPr="00FF6BE2">
        <w:rPr>
          <w:rFonts w:ascii="Arial" w:hAnsi="Arial" w:cs="Arial"/>
          <w:sz w:val="36"/>
          <w:szCs w:val="36"/>
        </w:rPr>
        <w:t xml:space="preserve">requirements of the Growth Management Act (RCW 36.70A, or 43.21C) must be filed with the Growth Management Hearings Board within sixty (60) days after publication of the </w:t>
      </w:r>
      <w:r w:rsidR="001151CA">
        <w:rPr>
          <w:rFonts w:ascii="Arial" w:hAnsi="Arial" w:cs="Arial"/>
          <w:sz w:val="36"/>
          <w:szCs w:val="36"/>
        </w:rPr>
        <w:t xml:space="preserve">adopting </w:t>
      </w:r>
      <w:r w:rsidR="00BA7FC3" w:rsidRPr="00FF6BE2">
        <w:rPr>
          <w:rFonts w:ascii="Arial" w:hAnsi="Arial" w:cs="Arial"/>
          <w:sz w:val="36"/>
          <w:szCs w:val="36"/>
        </w:rPr>
        <w:t>ordinance, as required to be published. Petitions may be filed only by those persons w</w:t>
      </w:r>
      <w:r w:rsidR="00423687">
        <w:rPr>
          <w:rFonts w:ascii="Arial" w:hAnsi="Arial" w:cs="Arial"/>
          <w:sz w:val="36"/>
          <w:szCs w:val="36"/>
        </w:rPr>
        <w:t xml:space="preserve">ith standing, as defined in RCW </w:t>
      </w:r>
      <w:r w:rsidR="00BA7FC3" w:rsidRPr="00FF6BE2">
        <w:rPr>
          <w:rFonts w:ascii="Arial" w:hAnsi="Arial" w:cs="Arial"/>
          <w:sz w:val="36"/>
          <w:szCs w:val="36"/>
        </w:rPr>
        <w:t xml:space="preserve">36.70A.280(2). The ordinance </w:t>
      </w:r>
      <w:r w:rsidR="00FF6BE2" w:rsidRPr="00FF6BE2">
        <w:rPr>
          <w:rFonts w:ascii="Arial" w:hAnsi="Arial" w:cs="Arial"/>
          <w:sz w:val="36"/>
          <w:szCs w:val="36"/>
        </w:rPr>
        <w:t xml:space="preserve">summary </w:t>
      </w:r>
      <w:r w:rsidR="00BA7FC3" w:rsidRPr="00FF6BE2">
        <w:rPr>
          <w:rFonts w:ascii="Arial" w:hAnsi="Arial" w:cs="Arial"/>
          <w:sz w:val="36"/>
          <w:szCs w:val="36"/>
        </w:rPr>
        <w:t xml:space="preserve">was published on </w:t>
      </w:r>
      <w:r w:rsidR="00746552">
        <w:rPr>
          <w:rFonts w:ascii="Arial" w:hAnsi="Arial" w:cs="Arial"/>
          <w:sz w:val="36"/>
          <w:szCs w:val="36"/>
        </w:rPr>
        <w:t>November 22,</w:t>
      </w:r>
      <w:r w:rsidR="00BA7FC3" w:rsidRPr="00FF6BE2">
        <w:rPr>
          <w:rFonts w:ascii="Arial" w:hAnsi="Arial" w:cs="Arial"/>
          <w:sz w:val="36"/>
          <w:szCs w:val="36"/>
        </w:rPr>
        <w:t xml:space="preserve"> 2021</w:t>
      </w:r>
      <w:r w:rsidR="001F0C16" w:rsidRPr="00FF6BE2">
        <w:rPr>
          <w:rFonts w:ascii="Arial" w:hAnsi="Arial" w:cs="Arial"/>
          <w:sz w:val="36"/>
          <w:szCs w:val="36"/>
        </w:rPr>
        <w:t>.</w:t>
      </w:r>
      <w:r w:rsidR="00BA7FC3" w:rsidRPr="00FF6BE2">
        <w:rPr>
          <w:rFonts w:ascii="Arial" w:hAnsi="Arial" w:cs="Arial"/>
          <w:sz w:val="36"/>
          <w:szCs w:val="36"/>
        </w:rPr>
        <w:t xml:space="preserve"> </w:t>
      </w:r>
      <w:r w:rsidR="001F0C16" w:rsidRPr="00FF6BE2">
        <w:rPr>
          <w:rFonts w:ascii="Arial" w:hAnsi="Arial" w:cs="Arial"/>
          <w:sz w:val="36"/>
          <w:szCs w:val="36"/>
        </w:rPr>
        <w:t xml:space="preserve"> </w:t>
      </w:r>
    </w:p>
    <w:p w14:paraId="549E0FF1" w14:textId="77777777" w:rsidR="00BA7FC3" w:rsidRPr="00C0358A" w:rsidRDefault="00BA7FC3" w:rsidP="00FF6BE2">
      <w:pPr>
        <w:keepNext/>
        <w:spacing w:line="259" w:lineRule="auto"/>
        <w:jc w:val="both"/>
        <w:outlineLvl w:val="2"/>
        <w:rPr>
          <w:rFonts w:ascii="Arial" w:hAnsi="Arial" w:cs="Arial"/>
          <w:sz w:val="38"/>
          <w:szCs w:val="38"/>
        </w:rPr>
      </w:pPr>
    </w:p>
    <w:p w14:paraId="031BE498" w14:textId="77777777" w:rsidR="00B10E0C" w:rsidRPr="00C0358A" w:rsidRDefault="00B10E0C" w:rsidP="00FF6BE2">
      <w:pPr>
        <w:spacing w:line="259" w:lineRule="auto"/>
        <w:rPr>
          <w:rFonts w:ascii="Arial" w:hAnsi="Arial" w:cs="Arial"/>
          <w:i/>
          <w:sz w:val="38"/>
          <w:szCs w:val="38"/>
        </w:rPr>
      </w:pPr>
      <w:r w:rsidRPr="00C0358A">
        <w:rPr>
          <w:rFonts w:ascii="Arial" w:hAnsi="Arial" w:cs="Arial"/>
          <w:i/>
          <w:sz w:val="38"/>
          <w:szCs w:val="38"/>
        </w:rPr>
        <w:t>Affected property owners may request a change in valuation for property tax purposes notwithstanding any program of revaluation.  For information regarding property valuations and/or assessments, contact the Snohomish County Assessor’s Office at (425) 388-3433.</w:t>
      </w:r>
    </w:p>
    <w:p w14:paraId="79E48FCB" w14:textId="77777777" w:rsidR="003B7FDC" w:rsidRPr="00C0358A" w:rsidRDefault="003B7FDC" w:rsidP="00FF6BE2">
      <w:pPr>
        <w:spacing w:line="259" w:lineRule="auto"/>
        <w:ind w:right="-15"/>
        <w:rPr>
          <w:rFonts w:ascii="Arial" w:hAnsi="Arial" w:cs="Arial"/>
          <w:sz w:val="36"/>
          <w:szCs w:val="36"/>
        </w:rPr>
      </w:pPr>
    </w:p>
    <w:p w14:paraId="0FE8D621" w14:textId="4B2B8D95" w:rsidR="00107633" w:rsidRPr="00C0358A" w:rsidRDefault="00BA7FC3" w:rsidP="00FF6BE2">
      <w:pPr>
        <w:spacing w:line="259" w:lineRule="auto"/>
        <w:rPr>
          <w:rFonts w:ascii="Arial" w:hAnsi="Arial" w:cs="Arial"/>
          <w:sz w:val="36"/>
          <w:szCs w:val="36"/>
        </w:rPr>
      </w:pPr>
      <w:r w:rsidRPr="00C0358A">
        <w:rPr>
          <w:rFonts w:ascii="Arial" w:hAnsi="Arial" w:cs="Arial"/>
          <w:sz w:val="38"/>
          <w:szCs w:val="38"/>
        </w:rPr>
        <w:t xml:space="preserve">Copies of the Findings of Fact and Conclusions as well as copies of all the supporting documents are available on the City of Mukilteo website at </w:t>
      </w:r>
      <w:hyperlink r:id="rId8" w:history="1">
        <w:r w:rsidRPr="00C0358A">
          <w:rPr>
            <w:rStyle w:val="Hyperlink"/>
            <w:rFonts w:ascii="Arial" w:hAnsi="Arial" w:cs="Arial"/>
            <w:sz w:val="38"/>
            <w:szCs w:val="38"/>
          </w:rPr>
          <w:t>https://mukilteowa.gov/land-use-action-notices/</w:t>
        </w:r>
      </w:hyperlink>
      <w:r w:rsidRPr="00C0358A">
        <w:rPr>
          <w:rFonts w:ascii="Arial" w:hAnsi="Arial" w:cs="Arial"/>
          <w:sz w:val="38"/>
          <w:szCs w:val="38"/>
        </w:rPr>
        <w:t xml:space="preserve"> or by request from the City of Mukilteo Community Development Department via email (permittech@mukilteowa.gov) or phone (425) 263-8000.</w:t>
      </w:r>
    </w:p>
    <w:sectPr w:rsidR="00107633" w:rsidRPr="00C0358A" w:rsidSect="00C0358A">
      <w:pgSz w:w="15840" w:h="24480" w:code="3"/>
      <w:pgMar w:top="403" w:right="1166" w:bottom="547" w:left="99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7976" w14:textId="77777777" w:rsidR="008C375C" w:rsidRDefault="008C375C" w:rsidP="00CE3EB5">
      <w:r>
        <w:separator/>
      </w:r>
    </w:p>
  </w:endnote>
  <w:endnote w:type="continuationSeparator" w:id="0">
    <w:p w14:paraId="47E25E90" w14:textId="77777777" w:rsidR="008C375C" w:rsidRDefault="008C375C" w:rsidP="00C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5CC6" w14:textId="77777777" w:rsidR="008C375C" w:rsidRDefault="008C375C" w:rsidP="00CE3EB5">
      <w:r>
        <w:separator/>
      </w:r>
    </w:p>
  </w:footnote>
  <w:footnote w:type="continuationSeparator" w:id="0">
    <w:p w14:paraId="2F51F7C9" w14:textId="77777777" w:rsidR="008C375C" w:rsidRDefault="008C375C" w:rsidP="00CE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E4E"/>
    <w:multiLevelType w:val="hybridMultilevel"/>
    <w:tmpl w:val="EA1E1258"/>
    <w:lvl w:ilvl="0" w:tplc="F964F9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54726DA"/>
    <w:multiLevelType w:val="hybridMultilevel"/>
    <w:tmpl w:val="C724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13AE9"/>
    <w:multiLevelType w:val="hybridMultilevel"/>
    <w:tmpl w:val="00A402B0"/>
    <w:lvl w:ilvl="0" w:tplc="572CAB6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D"/>
    <w:rsid w:val="00027D12"/>
    <w:rsid w:val="000676FF"/>
    <w:rsid w:val="00107633"/>
    <w:rsid w:val="001151CA"/>
    <w:rsid w:val="00147FEF"/>
    <w:rsid w:val="001F0C16"/>
    <w:rsid w:val="00246EBB"/>
    <w:rsid w:val="00255822"/>
    <w:rsid w:val="00310201"/>
    <w:rsid w:val="003360F8"/>
    <w:rsid w:val="00394B30"/>
    <w:rsid w:val="003B7FDC"/>
    <w:rsid w:val="00423687"/>
    <w:rsid w:val="0043402E"/>
    <w:rsid w:val="00465D5E"/>
    <w:rsid w:val="004F2E86"/>
    <w:rsid w:val="005C440E"/>
    <w:rsid w:val="005D1465"/>
    <w:rsid w:val="00633A2D"/>
    <w:rsid w:val="006B4EF7"/>
    <w:rsid w:val="00746552"/>
    <w:rsid w:val="007F6399"/>
    <w:rsid w:val="008212FC"/>
    <w:rsid w:val="008269DF"/>
    <w:rsid w:val="00896C18"/>
    <w:rsid w:val="008A382D"/>
    <w:rsid w:val="008C375C"/>
    <w:rsid w:val="008E0383"/>
    <w:rsid w:val="00906E0D"/>
    <w:rsid w:val="00947B50"/>
    <w:rsid w:val="00960857"/>
    <w:rsid w:val="009F692E"/>
    <w:rsid w:val="00A242BE"/>
    <w:rsid w:val="00B10E0C"/>
    <w:rsid w:val="00B81BA2"/>
    <w:rsid w:val="00B95E62"/>
    <w:rsid w:val="00BA7FC3"/>
    <w:rsid w:val="00C0358A"/>
    <w:rsid w:val="00C05CE1"/>
    <w:rsid w:val="00C16B32"/>
    <w:rsid w:val="00C26CA7"/>
    <w:rsid w:val="00C406D7"/>
    <w:rsid w:val="00C70A34"/>
    <w:rsid w:val="00CE3EB5"/>
    <w:rsid w:val="00CF7D0A"/>
    <w:rsid w:val="00D540DB"/>
    <w:rsid w:val="00D60332"/>
    <w:rsid w:val="00DA05F9"/>
    <w:rsid w:val="00DA144B"/>
    <w:rsid w:val="00DF01BC"/>
    <w:rsid w:val="00E779BD"/>
    <w:rsid w:val="00EA3DA9"/>
    <w:rsid w:val="00EC25B1"/>
    <w:rsid w:val="00EF0EC0"/>
    <w:rsid w:val="00F87548"/>
    <w:rsid w:val="00FF2E5C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D2873"/>
  <w15:docId w15:val="{50390A50-179B-4B19-8F19-46E0BAF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9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9BD"/>
    <w:pPr>
      <w:ind w:left="720"/>
      <w:contextualSpacing/>
    </w:pPr>
  </w:style>
  <w:style w:type="paragraph" w:customStyle="1" w:styleId="p3">
    <w:name w:val="p3"/>
    <w:basedOn w:val="Normal"/>
    <w:rsid w:val="003B7FDC"/>
    <w:pPr>
      <w:spacing w:after="240" w:line="360" w:lineRule="atLeast"/>
      <w:ind w:left="1032"/>
      <w:textAlignment w:val="baseline"/>
    </w:pPr>
  </w:style>
  <w:style w:type="paragraph" w:customStyle="1" w:styleId="p4">
    <w:name w:val="p4"/>
    <w:basedOn w:val="Normal"/>
    <w:rsid w:val="003B7FDC"/>
    <w:pPr>
      <w:spacing w:after="240" w:line="360" w:lineRule="atLeast"/>
      <w:ind w:left="1512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0D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FC3"/>
    <w:rPr>
      <w:color w:val="605E5C"/>
      <w:shd w:val="clear" w:color="auto" w:fill="E1DFDD"/>
    </w:rPr>
  </w:style>
  <w:style w:type="character" w:customStyle="1" w:styleId="WACText">
    <w:name w:val="WACText"/>
    <w:basedOn w:val="DefaultParagraphFont"/>
    <w:rsid w:val="00C05CE1"/>
    <w:rPr>
      <w:rFonts w:ascii="Courier" w:hAnsi="Courier"/>
      <w:noProof w:val="0"/>
      <w:sz w:val="24"/>
      <w:lang w:val="en-US"/>
    </w:rPr>
  </w:style>
  <w:style w:type="paragraph" w:customStyle="1" w:styleId="HRt-1">
    <w:name w:val="HRt-1"/>
    <w:rsid w:val="00C05CE1"/>
    <w:pPr>
      <w:widowControl w:val="0"/>
      <w:tabs>
        <w:tab w:val="left" w:pos="-720"/>
      </w:tabs>
      <w:suppressAutoHyphens/>
      <w:spacing w:after="0" w:line="121" w:lineRule="exact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E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E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107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89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5919">
                      <w:marLeft w:val="480"/>
                      <w:marRight w:val="480"/>
                      <w:marTop w:val="240"/>
                      <w:marBottom w:val="240"/>
                      <w:divBdr>
                        <w:top w:val="single" w:sz="6" w:space="13" w:color="000000"/>
                        <w:left w:val="single" w:sz="2" w:space="13" w:color="000000"/>
                        <w:bottom w:val="single" w:sz="6" w:space="13" w:color="000000"/>
                        <w:right w:val="single" w:sz="2" w:space="13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ilteowa.gov/land-use-action-not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Balisky</dc:creator>
  <cp:lastModifiedBy>Cheryl Martinis</cp:lastModifiedBy>
  <cp:revision>2</cp:revision>
  <cp:lastPrinted>2019-04-05T16:50:00Z</cp:lastPrinted>
  <dcterms:created xsi:type="dcterms:W3CDTF">2021-11-30T00:23:00Z</dcterms:created>
  <dcterms:modified xsi:type="dcterms:W3CDTF">2021-11-30T00:23:00Z</dcterms:modified>
</cp:coreProperties>
</file>